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139700</wp:posOffset>
                </wp:positionV>
                <wp:extent cx="1962150" cy="1162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9688" y="3203738"/>
                          <a:ext cx="19526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Board meetings will be conducted by Zoom Video Conference and Audio Teleconference for the duration of the Governor’s Stay at Home Order.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139700</wp:posOffset>
                </wp:positionV>
                <wp:extent cx="1962150" cy="1162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Larry Potter: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Rebekah Carlson: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Special Meeting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Wednesday, April 29, 2020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5:30 p.m. 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101600</wp:posOffset>
                </wp:positionV>
                <wp:extent cx="3352800" cy="53816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74363" y="1093950"/>
                          <a:ext cx="3343275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ZOOM Meeting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Topic: Smartsville Fire Protection District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Time: Apr 29, 2020 06:00 PM Pacific Time (US and Canada)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Join Zoom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https://us02web.zoom.us/j/78939460990?pwd=WTNJUzU1MVM3eGV3cVFLTWdZeGgzQT09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Meeting ID: 789 3946 0990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Password: 434896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One tap mobile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+16699009128,,78939460990#,,1#,434896# US (San Jose)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+12532158782,,78939460990#,,1#,434896# US (Tacoma)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Dial by your location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+1 669 900 9128 US (San Jose)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+1 253 215 8782 US (Tacoma)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+1 346 248 7799 US (Houston)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+1 646 558 8656 US (New York)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+1 301 715 8592 US (Germantown)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+1 312 626 6799 US (Chicago)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Meeting ID: 789 3946 0990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Password: 434896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Find your local number: https://us02web.zoom.us/u/kcgO7uNoOW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101600</wp:posOffset>
                </wp:positionV>
                <wp:extent cx="3352800" cy="53816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538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II. Public Comment: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III. Minutes: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IV: Treasurer’s Report: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Financial Report: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Approval of Bills: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Benefit Assessment: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V. Discussion/Action Items: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Chief’s Report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Operational budget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Operational equipment purchases/replacement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Station renovations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Stipend changes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 Federal Grant to support 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Department Policies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Update and Home Storage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Rose Bar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Surplus Equipment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 Ordinance: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Mitigation Rates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 Recovery USA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      F. Monthly Meetings: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JPA: 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YWFSC: 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CM: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SCRFI: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SFFA(Smartsville Fire Fighter’s Association): 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VI. Correspondence: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VII. Good of the Order: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VIII. Adjournment: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aJd1+9drEf99Yk15MrLzRAqgw==">AMUW2mXb+746H10zgNJSoLKF0y/HfvK1BZuFFrtY1Po/BtLFDJ+tMzqc8t2ynssnI+8Vsb5Xn8idYOigoflYmkg+Wj4dNPKdJ6KNvwI9ZUJx/Pt6B19CWcdg5r0Orip/Qh8wwj7PjYFR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