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Rebekah Carlson: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Regular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June 18,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6:30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III. Minutes: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IV: Treasurer’s Report: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Discussion/Action Items: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State Fire Marshal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Recovery USA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Fighter’s Association):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VI. Correspondence: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VII. Good of the Order: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VIII. Adjournment: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