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Thursday, October 13,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II.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 Public Comment: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Addition to the Agenda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Resolution Rural Forestry Capacity (RFC) Program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Station Subsistence Allowance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F. Surplus Equipment</w:t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Monthly Meetings: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2E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8kA4ERob6hdW7pa9yn6/9xKlg==">AMUW2mXc3+CUJ5Pxi3ezYMzsK0Vo4xNrO7ZRsIp5gVL0BLFDYwP2PIWAgkuACzYoeTT+OaaJfywcgElRWLMxv/lbbp/gFCbXbrKiUpWpQ6CpJld7QkLeEX0=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